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Milestone [n] of [total]: [milestone], [share] of [build fee]</w:t>
            </w:r>
          </w:p>
        </w:tc>
        <w:tc>
          <w:tcPr>
            <w:tcW w:type="dxa" w:w="1134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Third-party licence, at cost: [item]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Approved change request [number]: [description],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14 days of the invoice date. Launch and handover of admin access follow payment of the final milestone, as set out in our agreement.</w:t>
      </w:r>
    </w:p>
    <w:p>
      <w:r>
        <w:rPr>
          <w:b/>
        </w:rPr>
        <w:t>Notes</w:t>
      </w:r>
    </w:p>
    <w:p>
      <w:r>
        <w:t>Staging link: [URL]. Agreement: [reference].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build milestone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